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7CA2C" w14:textId="77777777" w:rsidR="00A7532A" w:rsidRPr="006557F1" w:rsidRDefault="00A7532A" w:rsidP="00A7532A">
      <w:pPr>
        <w:spacing w:after="0"/>
        <w:rPr>
          <w:rFonts w:ascii="Times New Roman" w:hAnsi="Times New Roman" w:cs="Times New Roman"/>
          <w:b/>
          <w:sz w:val="48"/>
          <w:szCs w:val="48"/>
          <w:lang w:val="da-DK"/>
        </w:rPr>
      </w:pPr>
      <w:r w:rsidRPr="006557F1">
        <w:rPr>
          <w:rFonts w:ascii="Times New Roman" w:hAnsi="Times New Roman" w:cs="Times New Roman"/>
          <w:b/>
          <w:sz w:val="48"/>
          <w:szCs w:val="48"/>
          <w:lang w:val="da-DK"/>
        </w:rPr>
        <w:t>Læreplan for Hovedforhandlingen</w:t>
      </w:r>
    </w:p>
    <w:p w14:paraId="3C13C30A" w14:textId="77777777" w:rsidR="00A7532A" w:rsidRPr="006557F1" w:rsidRDefault="00A7532A" w:rsidP="00A7532A">
      <w:pPr>
        <w:spacing w:after="0"/>
        <w:rPr>
          <w:rFonts w:ascii="Times New Roman" w:hAnsi="Times New Roman" w:cs="Times New Roman"/>
          <w:sz w:val="24"/>
          <w:szCs w:val="24"/>
          <w:lang w:val="da-DK"/>
        </w:rPr>
      </w:pPr>
    </w:p>
    <w:p w14:paraId="5D2E344B" w14:textId="77777777" w:rsidR="00A7532A" w:rsidRPr="006557F1" w:rsidRDefault="00A7532A" w:rsidP="00A7532A">
      <w:pPr>
        <w:spacing w:after="0"/>
        <w:rPr>
          <w:rFonts w:ascii="Times New Roman" w:hAnsi="Times New Roman" w:cs="Times New Roman"/>
          <w:sz w:val="24"/>
          <w:szCs w:val="24"/>
          <w:lang w:val="da-DK"/>
        </w:rPr>
      </w:pPr>
    </w:p>
    <w:p w14:paraId="5098FD08" w14:textId="77777777" w:rsidR="00A7532A" w:rsidRPr="006557F1" w:rsidRDefault="00A7532A" w:rsidP="00A7532A">
      <w:pPr>
        <w:spacing w:after="0"/>
        <w:rPr>
          <w:rFonts w:ascii="Times New Roman" w:hAnsi="Times New Roman" w:cs="Times New Roman"/>
          <w:sz w:val="24"/>
          <w:szCs w:val="24"/>
          <w:lang w:val="da-DK"/>
        </w:rPr>
      </w:pPr>
    </w:p>
    <w:p w14:paraId="1830094E" w14:textId="77777777" w:rsidR="00A7532A" w:rsidRPr="006557F1" w:rsidRDefault="00A7532A" w:rsidP="00A7532A">
      <w:pPr>
        <w:spacing w:after="0"/>
        <w:rPr>
          <w:rFonts w:ascii="Times New Roman" w:hAnsi="Times New Roman" w:cs="Times New Roman"/>
          <w:sz w:val="24"/>
          <w:szCs w:val="24"/>
          <w:lang w:val="da-DK"/>
        </w:rPr>
      </w:pPr>
    </w:p>
    <w:p w14:paraId="05E1B04F" w14:textId="77777777" w:rsidR="00A7532A" w:rsidRPr="006557F1" w:rsidRDefault="00A7532A" w:rsidP="00A7532A">
      <w:pPr>
        <w:spacing w:after="0"/>
        <w:rPr>
          <w:rFonts w:ascii="Times New Roman" w:hAnsi="Times New Roman" w:cs="Times New Roman"/>
          <w:sz w:val="24"/>
          <w:szCs w:val="24"/>
          <w:lang w:val="da-DK"/>
        </w:rPr>
      </w:pPr>
    </w:p>
    <w:p w14:paraId="3E35784D" w14:textId="77777777" w:rsidR="00A7532A" w:rsidRPr="006557F1" w:rsidRDefault="00A7532A" w:rsidP="00A7532A">
      <w:pPr>
        <w:spacing w:after="0"/>
        <w:rPr>
          <w:rFonts w:ascii="Times New Roman" w:hAnsi="Times New Roman" w:cs="Times New Roman"/>
          <w:sz w:val="24"/>
          <w:szCs w:val="24"/>
          <w:lang w:val="da-DK"/>
        </w:rPr>
      </w:pPr>
    </w:p>
    <w:p w14:paraId="24550541" w14:textId="77777777" w:rsidR="00A7532A" w:rsidRPr="006557F1" w:rsidRDefault="00A7532A" w:rsidP="00A7532A">
      <w:pPr>
        <w:spacing w:after="0"/>
        <w:rPr>
          <w:rFonts w:ascii="Times New Roman" w:hAnsi="Times New Roman" w:cs="Times New Roman"/>
          <w:b/>
          <w:sz w:val="24"/>
          <w:szCs w:val="24"/>
          <w:lang w:val="da-DK"/>
        </w:rPr>
      </w:pPr>
      <w:r w:rsidRPr="006557F1">
        <w:rPr>
          <w:rFonts w:ascii="Times New Roman" w:hAnsi="Times New Roman" w:cs="Times New Roman"/>
          <w:b/>
          <w:sz w:val="24"/>
          <w:szCs w:val="24"/>
          <w:lang w:val="da-DK"/>
        </w:rPr>
        <w:t>Formål</w:t>
      </w:r>
    </w:p>
    <w:p w14:paraId="6CB75BF0" w14:textId="77777777" w:rsidR="00A7532A" w:rsidRPr="006557F1" w:rsidRDefault="00A7532A" w:rsidP="00A7532A">
      <w:p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Advokater skal kunne forberede og gennemføre en hovedforhandling. Advokatfuldmægtige skal derfor lære at arbejde systematisk med</w:t>
      </w:r>
      <w:r w:rsidR="008F2378">
        <w:rPr>
          <w:rFonts w:ascii="Times New Roman" w:hAnsi="Times New Roman" w:cs="Times New Roman"/>
          <w:sz w:val="24"/>
          <w:szCs w:val="24"/>
          <w:lang w:val="da-DK"/>
        </w:rPr>
        <w:t xml:space="preserve"> </w:t>
      </w:r>
      <w:r w:rsidRPr="006557F1">
        <w:rPr>
          <w:rFonts w:ascii="Times New Roman" w:hAnsi="Times New Roman" w:cs="Times New Roman"/>
          <w:sz w:val="24"/>
          <w:szCs w:val="24"/>
          <w:lang w:val="da-DK"/>
        </w:rPr>
        <w:t>forberedelsen af en sag, at forelægge en sag på en objektiv, klar og fokuseret måde, at afhøre en part og/eller et vidne på en måde så faktum bliver belyst og at fremlægge en procedure, der er kendetegnet ved at være f</w:t>
      </w:r>
      <w:r w:rsidR="00CB19C0">
        <w:rPr>
          <w:rFonts w:ascii="Times New Roman" w:hAnsi="Times New Roman" w:cs="Times New Roman"/>
          <w:sz w:val="24"/>
          <w:szCs w:val="24"/>
          <w:lang w:val="da-DK"/>
        </w:rPr>
        <w:t>okuseret om sagens kerneområder</w:t>
      </w:r>
      <w:r w:rsidR="00C27163">
        <w:rPr>
          <w:rFonts w:ascii="Times New Roman" w:hAnsi="Times New Roman" w:cs="Times New Roman"/>
          <w:sz w:val="24"/>
          <w:szCs w:val="24"/>
          <w:lang w:val="da-DK"/>
        </w:rPr>
        <w:t>,</w:t>
      </w:r>
      <w:r w:rsidRPr="006557F1">
        <w:rPr>
          <w:rFonts w:ascii="Times New Roman" w:hAnsi="Times New Roman" w:cs="Times New Roman"/>
          <w:sz w:val="24"/>
          <w:szCs w:val="24"/>
          <w:lang w:val="da-DK"/>
        </w:rPr>
        <w:t xml:space="preserve"> og som er gennemskueligt disponeret. </w:t>
      </w:r>
      <w:proofErr w:type="gramStart"/>
      <w:r w:rsidRPr="006557F1">
        <w:rPr>
          <w:rFonts w:ascii="Times New Roman" w:hAnsi="Times New Roman" w:cs="Times New Roman"/>
          <w:sz w:val="24"/>
          <w:szCs w:val="24"/>
          <w:lang w:val="da-DK"/>
        </w:rPr>
        <w:t>Endvidere</w:t>
      </w:r>
      <w:proofErr w:type="gramEnd"/>
      <w:r w:rsidRPr="006557F1">
        <w:rPr>
          <w:rFonts w:ascii="Times New Roman" w:hAnsi="Times New Roman" w:cs="Times New Roman"/>
          <w:sz w:val="24"/>
          <w:szCs w:val="24"/>
          <w:lang w:val="da-DK"/>
        </w:rPr>
        <w:t xml:space="preserve"> skal advokatfuldmægtige kunne løse processuelle problemstillinger.</w:t>
      </w:r>
    </w:p>
    <w:p w14:paraId="514EF169" w14:textId="77777777" w:rsidR="00A7532A" w:rsidRPr="006557F1" w:rsidRDefault="00A7532A" w:rsidP="00A7532A">
      <w:pPr>
        <w:spacing w:after="0"/>
        <w:rPr>
          <w:rFonts w:ascii="Times New Roman" w:hAnsi="Times New Roman" w:cs="Times New Roman"/>
          <w:sz w:val="24"/>
          <w:szCs w:val="24"/>
          <w:lang w:val="da-DK"/>
        </w:rPr>
      </w:pPr>
    </w:p>
    <w:p w14:paraId="5C902049" w14:textId="77777777" w:rsidR="00A7532A" w:rsidRPr="006557F1" w:rsidRDefault="00A7532A" w:rsidP="00A7532A">
      <w:pPr>
        <w:spacing w:after="0"/>
        <w:rPr>
          <w:rFonts w:ascii="Times New Roman" w:hAnsi="Times New Roman" w:cs="Times New Roman"/>
          <w:sz w:val="24"/>
          <w:szCs w:val="24"/>
          <w:lang w:val="da-DK"/>
        </w:rPr>
      </w:pPr>
    </w:p>
    <w:p w14:paraId="203373E0" w14:textId="77777777" w:rsidR="00A7532A" w:rsidRPr="006557F1" w:rsidRDefault="00A7532A" w:rsidP="00A7532A">
      <w:pPr>
        <w:spacing w:after="0"/>
        <w:rPr>
          <w:rFonts w:ascii="Times New Roman" w:hAnsi="Times New Roman" w:cs="Times New Roman"/>
          <w:b/>
          <w:sz w:val="24"/>
          <w:szCs w:val="24"/>
          <w:lang w:val="da-DK"/>
        </w:rPr>
      </w:pPr>
      <w:r w:rsidRPr="006557F1">
        <w:rPr>
          <w:rFonts w:ascii="Times New Roman" w:hAnsi="Times New Roman" w:cs="Times New Roman"/>
          <w:b/>
          <w:sz w:val="24"/>
          <w:szCs w:val="24"/>
          <w:lang w:val="da-DK"/>
        </w:rPr>
        <w:t>Faglige mål</w:t>
      </w:r>
    </w:p>
    <w:p w14:paraId="70F12CAB" w14:textId="77777777" w:rsidR="00A7532A" w:rsidRPr="006557F1" w:rsidRDefault="00A7532A" w:rsidP="00A7532A">
      <w:p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Deltagerne på advokatuddannelsen skal kunne:</w:t>
      </w:r>
    </w:p>
    <w:p w14:paraId="6F4B8338" w14:textId="77777777" w:rsidR="00A7532A" w:rsidRPr="006557F1" w:rsidRDefault="00A7532A" w:rsidP="00A7532A">
      <w:pPr>
        <w:spacing w:after="0"/>
        <w:rPr>
          <w:rFonts w:ascii="Times New Roman" w:hAnsi="Times New Roman" w:cs="Times New Roman"/>
          <w:sz w:val="24"/>
          <w:szCs w:val="24"/>
          <w:lang w:val="da-DK"/>
        </w:rPr>
      </w:pPr>
    </w:p>
    <w:p w14:paraId="3EF5F926"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forstå og anvende reglerne om påstandsdokumenter,</w:t>
      </w:r>
    </w:p>
    <w:p w14:paraId="7D63FFBE"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 xml:space="preserve">analysere et sagsmateriale med henblik på at identificere partens mål med sagen, de juridiske og bevismæssige problemstillinger og de dertil hørende bevismidler i sagen, </w:t>
      </w:r>
    </w:p>
    <w:p w14:paraId="00570D2B"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forstå formålet med forelæggelsen, og herunder kravene til objektivitet, fokus og klarhed, forstå og anvend</w:t>
      </w:r>
      <w:r w:rsidR="00CB19C0">
        <w:rPr>
          <w:rFonts w:ascii="Times New Roman" w:hAnsi="Times New Roman" w:cs="Times New Roman"/>
          <w:sz w:val="24"/>
          <w:szCs w:val="24"/>
          <w:lang w:val="da-DK"/>
        </w:rPr>
        <w:t>e reglerne om den koncentrerede</w:t>
      </w:r>
      <w:r w:rsidRPr="006557F1">
        <w:rPr>
          <w:rFonts w:ascii="Times New Roman" w:hAnsi="Times New Roman" w:cs="Times New Roman"/>
          <w:sz w:val="24"/>
          <w:szCs w:val="24"/>
          <w:lang w:val="da-DK"/>
        </w:rPr>
        <w:t xml:space="preserve"> forelæggelse,</w:t>
      </w:r>
    </w:p>
    <w:p w14:paraId="26A0E8E3"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udvælge r</w:t>
      </w:r>
      <w:r w:rsidR="008F2378">
        <w:rPr>
          <w:rFonts w:ascii="Times New Roman" w:hAnsi="Times New Roman" w:cs="Times New Roman"/>
          <w:sz w:val="24"/>
          <w:szCs w:val="24"/>
          <w:lang w:val="da-DK"/>
        </w:rPr>
        <w:t>elevante bilag til forelæggelse</w:t>
      </w:r>
      <w:r w:rsidRPr="006557F1">
        <w:rPr>
          <w:rFonts w:ascii="Times New Roman" w:hAnsi="Times New Roman" w:cs="Times New Roman"/>
          <w:sz w:val="24"/>
          <w:szCs w:val="24"/>
          <w:lang w:val="da-DK"/>
        </w:rPr>
        <w:t xml:space="preserve"> samt analy</w:t>
      </w:r>
      <w:r w:rsidR="008F2378">
        <w:rPr>
          <w:rFonts w:ascii="Times New Roman" w:hAnsi="Times New Roman" w:cs="Times New Roman"/>
          <w:sz w:val="24"/>
          <w:szCs w:val="24"/>
          <w:lang w:val="da-DK"/>
        </w:rPr>
        <w:t>sere og vurdere, hvilke passager</w:t>
      </w:r>
      <w:r w:rsidRPr="006557F1">
        <w:rPr>
          <w:rFonts w:ascii="Times New Roman" w:hAnsi="Times New Roman" w:cs="Times New Roman"/>
          <w:sz w:val="24"/>
          <w:szCs w:val="24"/>
          <w:lang w:val="da-DK"/>
        </w:rPr>
        <w:t xml:space="preserve"> der skal refereres henholdsvis dokumenteres,</w:t>
      </w:r>
    </w:p>
    <w:p w14:paraId="06132423" w14:textId="77777777" w:rsidR="00A7532A" w:rsidRDefault="00A7532A" w:rsidP="00A7532A">
      <w:pPr>
        <w:pStyle w:val="Listeafsnit"/>
        <w:numPr>
          <w:ilvl w:val="0"/>
          <w:numId w:val="1"/>
        </w:numPr>
        <w:spacing w:after="0"/>
        <w:rPr>
          <w:rFonts w:ascii="Times New Roman" w:hAnsi="Times New Roman" w:cs="Times New Roman"/>
          <w:sz w:val="24"/>
          <w:szCs w:val="24"/>
          <w:lang w:val="da-DK"/>
        </w:rPr>
      </w:pPr>
      <w:r w:rsidRPr="006824CB">
        <w:rPr>
          <w:rFonts w:ascii="Times New Roman" w:hAnsi="Times New Roman" w:cs="Times New Roman"/>
          <w:sz w:val="24"/>
          <w:szCs w:val="24"/>
          <w:lang w:val="da-DK"/>
        </w:rPr>
        <w:t>forstå</w:t>
      </w:r>
      <w:r w:rsidR="008F2378">
        <w:rPr>
          <w:rFonts w:ascii="Times New Roman" w:hAnsi="Times New Roman" w:cs="Times New Roman"/>
          <w:sz w:val="24"/>
          <w:szCs w:val="24"/>
          <w:lang w:val="da-DK"/>
        </w:rPr>
        <w:t>,</w:t>
      </w:r>
      <w:r w:rsidRPr="006824CB">
        <w:rPr>
          <w:rFonts w:ascii="Times New Roman" w:hAnsi="Times New Roman" w:cs="Times New Roman"/>
          <w:sz w:val="24"/>
          <w:szCs w:val="24"/>
          <w:lang w:val="da-DK"/>
        </w:rPr>
        <w:t xml:space="preserve"> hvordan forberedelse af vidneafhøringen, vidnetemaet, afhøringens struktur, advokatens optræden, spørgeteknik og </w:t>
      </w:r>
      <w:r w:rsidR="00CB19C0">
        <w:rPr>
          <w:rFonts w:ascii="Times New Roman" w:hAnsi="Times New Roman" w:cs="Times New Roman"/>
          <w:sz w:val="24"/>
          <w:szCs w:val="24"/>
          <w:lang w:val="da-DK"/>
        </w:rPr>
        <w:t>spørgsmålstyper har indflydelse</w:t>
      </w:r>
      <w:r w:rsidRPr="006824CB">
        <w:rPr>
          <w:rFonts w:ascii="Times New Roman" w:hAnsi="Times New Roman" w:cs="Times New Roman"/>
          <w:sz w:val="24"/>
          <w:szCs w:val="24"/>
          <w:lang w:val="da-DK"/>
        </w:rPr>
        <w:t xml:space="preserve"> på udbyttet af en afhøring, forbuddet mod at stille spørgsmål, som kan indebære </w:t>
      </w:r>
      <w:proofErr w:type="spellStart"/>
      <w:r w:rsidRPr="006824CB">
        <w:rPr>
          <w:rFonts w:ascii="Times New Roman" w:hAnsi="Times New Roman" w:cs="Times New Roman"/>
          <w:sz w:val="24"/>
          <w:szCs w:val="24"/>
          <w:lang w:val="da-DK"/>
        </w:rPr>
        <w:t>selvinkriminering</w:t>
      </w:r>
      <w:proofErr w:type="spellEnd"/>
      <w:r w:rsidRPr="006824CB">
        <w:rPr>
          <w:rFonts w:ascii="Times New Roman" w:hAnsi="Times New Roman" w:cs="Times New Roman"/>
          <w:sz w:val="24"/>
          <w:szCs w:val="24"/>
          <w:lang w:val="da-DK"/>
        </w:rPr>
        <w:t xml:space="preserve"> samt vidnepligtens omfang,</w:t>
      </w:r>
    </w:p>
    <w:p w14:paraId="275E0225" w14:textId="77777777" w:rsidR="00A7532A" w:rsidRPr="006824CB" w:rsidRDefault="00A7532A" w:rsidP="00A7532A">
      <w:pPr>
        <w:pStyle w:val="Listeafsnit"/>
        <w:numPr>
          <w:ilvl w:val="0"/>
          <w:numId w:val="1"/>
        </w:numPr>
        <w:spacing w:after="0"/>
        <w:rPr>
          <w:rFonts w:ascii="Times New Roman" w:hAnsi="Times New Roman" w:cs="Times New Roman"/>
          <w:sz w:val="24"/>
          <w:szCs w:val="24"/>
          <w:lang w:val="da-DK"/>
        </w:rPr>
      </w:pPr>
      <w:r w:rsidRPr="006824CB">
        <w:rPr>
          <w:rFonts w:ascii="Times New Roman" w:hAnsi="Times New Roman" w:cs="Times New Roman"/>
          <w:sz w:val="24"/>
          <w:szCs w:val="24"/>
          <w:lang w:val="da-DK"/>
        </w:rPr>
        <w:t>analysere og vurdere</w:t>
      </w:r>
      <w:r w:rsidR="008F2378">
        <w:rPr>
          <w:rFonts w:ascii="Times New Roman" w:hAnsi="Times New Roman" w:cs="Times New Roman"/>
          <w:sz w:val="24"/>
          <w:szCs w:val="24"/>
          <w:lang w:val="da-DK"/>
        </w:rPr>
        <w:t>,</w:t>
      </w:r>
      <w:r w:rsidR="00CB19C0">
        <w:rPr>
          <w:rFonts w:ascii="Times New Roman" w:hAnsi="Times New Roman" w:cs="Times New Roman"/>
          <w:sz w:val="24"/>
          <w:szCs w:val="24"/>
          <w:lang w:val="da-DK"/>
        </w:rPr>
        <w:t xml:space="preserve"> hvilke vidner og vidnetemaer</w:t>
      </w:r>
      <w:r w:rsidRPr="006824CB">
        <w:rPr>
          <w:rFonts w:ascii="Times New Roman" w:hAnsi="Times New Roman" w:cs="Times New Roman"/>
          <w:sz w:val="24"/>
          <w:szCs w:val="24"/>
          <w:lang w:val="da-DK"/>
        </w:rPr>
        <w:t xml:space="preserve"> der er relevante for en given problemstilling, </w:t>
      </w:r>
    </w:p>
    <w:p w14:paraId="5C851E74"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forstå betydni</w:t>
      </w:r>
      <w:r w:rsidR="00CB19C0">
        <w:rPr>
          <w:rFonts w:ascii="Times New Roman" w:hAnsi="Times New Roman" w:cs="Times New Roman"/>
          <w:sz w:val="24"/>
          <w:szCs w:val="24"/>
          <w:lang w:val="da-DK"/>
        </w:rPr>
        <w:t xml:space="preserve">ngen af og anvende forskellige </w:t>
      </w:r>
      <w:r w:rsidRPr="006557F1">
        <w:rPr>
          <w:rFonts w:ascii="Times New Roman" w:hAnsi="Times New Roman" w:cs="Times New Roman"/>
          <w:sz w:val="24"/>
          <w:szCs w:val="24"/>
          <w:lang w:val="da-DK"/>
        </w:rPr>
        <w:t xml:space="preserve">afhøringsteknikker og spørgsmålstyper til at påvirke en afhørings forløb, </w:t>
      </w:r>
    </w:p>
    <w:p w14:paraId="79EE403F"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forstå</w:t>
      </w:r>
      <w:r w:rsidR="008F2378">
        <w:rPr>
          <w:rFonts w:ascii="Times New Roman" w:hAnsi="Times New Roman" w:cs="Times New Roman"/>
          <w:sz w:val="24"/>
          <w:szCs w:val="24"/>
          <w:lang w:val="da-DK"/>
        </w:rPr>
        <w:t>,</w:t>
      </w:r>
      <w:r w:rsidRPr="006557F1">
        <w:rPr>
          <w:rFonts w:ascii="Times New Roman" w:hAnsi="Times New Roman" w:cs="Times New Roman"/>
          <w:sz w:val="24"/>
          <w:szCs w:val="24"/>
          <w:lang w:val="da-DK"/>
        </w:rPr>
        <w:t xml:space="preserve"> hvordan procedurens argumentation, disposition, sprog og f</w:t>
      </w:r>
      <w:r>
        <w:rPr>
          <w:rFonts w:ascii="Times New Roman" w:hAnsi="Times New Roman" w:cs="Times New Roman"/>
          <w:sz w:val="24"/>
          <w:szCs w:val="24"/>
          <w:lang w:val="da-DK"/>
        </w:rPr>
        <w:t>r</w:t>
      </w:r>
      <w:r w:rsidRPr="006557F1">
        <w:rPr>
          <w:rFonts w:ascii="Times New Roman" w:hAnsi="Times New Roman" w:cs="Times New Roman"/>
          <w:sz w:val="24"/>
          <w:szCs w:val="24"/>
          <w:lang w:val="da-DK"/>
        </w:rPr>
        <w:t>emførelse er egnet til at påvirke udfaldet af en given retssag,</w:t>
      </w:r>
    </w:p>
    <w:p w14:paraId="4423B79C"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anvende denne viden til at udforme en disposition til en procedure i en konkret sag, og herunder inddrage relevante bilag og vidnetemaer,</w:t>
      </w:r>
    </w:p>
    <w:p w14:paraId="2947A5ED"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analysere en processuel problemstilling og vurdere, hvordan advokaten bør reagere,</w:t>
      </w:r>
    </w:p>
    <w:p w14:paraId="3CB54F29" w14:textId="77777777" w:rsidR="00A7532A" w:rsidRPr="006557F1" w:rsidRDefault="00A7532A" w:rsidP="00A7532A">
      <w:pPr>
        <w:pStyle w:val="Listeafsnit"/>
        <w:numPr>
          <w:ilvl w:val="0"/>
          <w:numId w:val="1"/>
        </w:numPr>
        <w:spacing w:after="0"/>
        <w:rPr>
          <w:rFonts w:ascii="Times New Roman" w:hAnsi="Times New Roman" w:cs="Times New Roman"/>
          <w:sz w:val="24"/>
          <w:szCs w:val="24"/>
          <w:lang w:val="da-DK"/>
        </w:rPr>
      </w:pPr>
      <w:r w:rsidRPr="006557F1">
        <w:rPr>
          <w:rFonts w:ascii="Times New Roman" w:hAnsi="Times New Roman" w:cs="Times New Roman"/>
          <w:sz w:val="24"/>
          <w:szCs w:val="24"/>
          <w:lang w:val="da-DK"/>
        </w:rPr>
        <w:t>anvende reglerne om nova efter forberedelsens afslutning.</w:t>
      </w:r>
    </w:p>
    <w:p w14:paraId="12AABE79" w14:textId="77777777" w:rsidR="00A7532A" w:rsidRDefault="00A7532A" w:rsidP="00A7532A">
      <w:pPr>
        <w:spacing w:after="0"/>
        <w:rPr>
          <w:rFonts w:ascii="Times New Roman" w:hAnsi="Times New Roman" w:cs="Times New Roman"/>
          <w:sz w:val="24"/>
          <w:szCs w:val="24"/>
          <w:lang w:val="da-DK"/>
        </w:rPr>
      </w:pPr>
    </w:p>
    <w:p w14:paraId="3B59F4FC" w14:textId="77777777" w:rsidR="00A7532A" w:rsidRDefault="00A7532A" w:rsidP="00A7532A">
      <w:pPr>
        <w:spacing w:after="0"/>
        <w:rPr>
          <w:rFonts w:ascii="Times New Roman" w:hAnsi="Times New Roman" w:cs="Times New Roman"/>
          <w:sz w:val="24"/>
          <w:szCs w:val="24"/>
          <w:lang w:val="da-DK"/>
        </w:rPr>
      </w:pPr>
    </w:p>
    <w:p w14:paraId="051836E6" w14:textId="77777777" w:rsidR="00A7532A" w:rsidRDefault="00A7532A" w:rsidP="00A7532A">
      <w:pPr>
        <w:spacing w:after="0"/>
        <w:rPr>
          <w:rFonts w:ascii="Times New Roman" w:hAnsi="Times New Roman" w:cs="Times New Roman"/>
          <w:sz w:val="24"/>
          <w:szCs w:val="24"/>
          <w:lang w:val="da-DK"/>
        </w:rPr>
      </w:pPr>
    </w:p>
    <w:p w14:paraId="0CFED6BF" w14:textId="77777777" w:rsidR="00A7532A" w:rsidRDefault="00A7532A" w:rsidP="00A7532A">
      <w:pPr>
        <w:spacing w:after="0"/>
        <w:rPr>
          <w:rFonts w:ascii="Times New Roman" w:hAnsi="Times New Roman" w:cs="Times New Roman"/>
          <w:sz w:val="24"/>
          <w:szCs w:val="24"/>
          <w:lang w:val="da-DK"/>
        </w:rPr>
      </w:pPr>
    </w:p>
    <w:p w14:paraId="278111EA" w14:textId="77777777" w:rsidR="00A7532A" w:rsidRPr="006557F1" w:rsidRDefault="00A7532A" w:rsidP="00A7532A">
      <w:pPr>
        <w:spacing w:after="0"/>
        <w:rPr>
          <w:rFonts w:ascii="Times New Roman" w:hAnsi="Times New Roman" w:cs="Times New Roman"/>
          <w:sz w:val="24"/>
          <w:szCs w:val="24"/>
          <w:lang w:val="da-DK"/>
        </w:rPr>
      </w:pPr>
    </w:p>
    <w:p w14:paraId="1D98FE26" w14:textId="77777777" w:rsidR="00A7532A" w:rsidRPr="006557F1" w:rsidRDefault="00A7532A" w:rsidP="00A7532A">
      <w:pPr>
        <w:spacing w:after="0"/>
        <w:rPr>
          <w:rFonts w:ascii="Times New Roman" w:hAnsi="Times New Roman" w:cs="Times New Roman"/>
          <w:sz w:val="24"/>
          <w:szCs w:val="24"/>
          <w:lang w:val="da-DK"/>
        </w:rPr>
      </w:pPr>
    </w:p>
    <w:p w14:paraId="115ABDDE" w14:textId="77777777" w:rsidR="008C1209" w:rsidRPr="008C1209" w:rsidRDefault="008C1209" w:rsidP="008C1209">
      <w:pPr>
        <w:pStyle w:val="Overskrift1"/>
        <w:spacing w:before="60"/>
        <w:rPr>
          <w:lang w:val="da-DK"/>
        </w:rPr>
      </w:pPr>
      <w:r w:rsidRPr="008C1209">
        <w:rPr>
          <w:lang w:val="da-DK"/>
        </w:rPr>
        <w:lastRenderedPageBreak/>
        <w:t>Materialesamling til undervisning og eksamen (teori)</w:t>
      </w:r>
    </w:p>
    <w:p w14:paraId="61329AC1"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Retsplejeloven kap. 21-39</w:t>
      </w:r>
    </w:p>
    <w:p w14:paraId="6D67C549" w14:textId="77777777" w:rsidR="008C1209" w:rsidRPr="008C1209" w:rsidRDefault="008C1209" w:rsidP="008C1209">
      <w:pPr>
        <w:pStyle w:val="Listeafsnit"/>
        <w:numPr>
          <w:ilvl w:val="0"/>
          <w:numId w:val="1"/>
        </w:numPr>
        <w:spacing w:after="0"/>
        <w:rPr>
          <w:rFonts w:ascii="Times New Roman" w:hAnsi="Times New Roman" w:cs="Times New Roman"/>
          <w:i/>
          <w:sz w:val="24"/>
          <w:szCs w:val="24"/>
          <w:lang w:val="da-DK"/>
        </w:rPr>
      </w:pPr>
      <w:r w:rsidRPr="008C1209">
        <w:rPr>
          <w:rFonts w:ascii="Times New Roman" w:hAnsi="Times New Roman" w:cs="Times New Roman"/>
          <w:sz w:val="24"/>
          <w:szCs w:val="24"/>
          <w:lang w:val="da-DK"/>
        </w:rPr>
        <w:t xml:space="preserve">Retsplejerådet, Reform af den civile retspleje: </w:t>
      </w:r>
      <w:r w:rsidRPr="008C1209">
        <w:rPr>
          <w:rFonts w:ascii="Times New Roman" w:hAnsi="Times New Roman" w:cs="Times New Roman"/>
          <w:i/>
          <w:sz w:val="24"/>
          <w:szCs w:val="24"/>
          <w:lang w:val="da-DK"/>
        </w:rPr>
        <w:t>Regler om sagsbehandling i første instans</w:t>
      </w:r>
    </w:p>
    <w:p w14:paraId="4108864B"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Helle Hvass,</w:t>
      </w:r>
      <w:r w:rsidRPr="008C1209">
        <w:rPr>
          <w:rFonts w:ascii="Times New Roman" w:hAnsi="Times New Roman" w:cs="Times New Roman"/>
          <w:i/>
          <w:sz w:val="24"/>
          <w:szCs w:val="24"/>
          <w:lang w:val="da-DK"/>
        </w:rPr>
        <w:t xml:space="preserve"> Mundtligt dansk</w:t>
      </w:r>
      <w:r w:rsidRPr="008C1209">
        <w:rPr>
          <w:rFonts w:ascii="Times New Roman" w:hAnsi="Times New Roman" w:cs="Times New Roman"/>
          <w:sz w:val="24"/>
          <w:szCs w:val="24"/>
          <w:lang w:val="da-DK"/>
        </w:rPr>
        <w:t>, Gyldendal, 2007, p 20-21</w:t>
      </w:r>
    </w:p>
    <w:p w14:paraId="7F14BFFD"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Advokaten 1/2009: Dommerne gennemskuer løgnagtige vidner</w:t>
      </w:r>
    </w:p>
    <w:p w14:paraId="5A163775"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Advokaten 2/2008: Advokater skal tage ansvar for planlægningen</w:t>
      </w:r>
    </w:p>
    <w:p w14:paraId="215A68BC"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Advokaten 5/2010: Det mit vidne mener, er...</w:t>
      </w:r>
    </w:p>
    <w:p w14:paraId="2470B6FC"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Advokaten 6/2010: Med Emma Gad i Landsretten</w:t>
      </w:r>
    </w:p>
    <w:p w14:paraId="1328AE5A"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Advokaten 9/2013: Retorik i Retten</w:t>
      </w:r>
    </w:p>
    <w:p w14:paraId="1AB56D24"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Advokaten 4/2014: Vidnebeviset</w:t>
      </w:r>
    </w:p>
    <w:p w14:paraId="3D28CBA1"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Advokaten 5/2014: Retorik i Højesteret, Advokatens talegaver – anden akt</w:t>
      </w:r>
    </w:p>
    <w:p w14:paraId="6118B940"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U2010.2711H</w:t>
      </w:r>
    </w:p>
    <w:p w14:paraId="584BE944" w14:textId="4173CA81" w:rsidR="00F7025D" w:rsidRDefault="00F7025D" w:rsidP="008C1209">
      <w:pPr>
        <w:pStyle w:val="Listeafsnit"/>
        <w:numPr>
          <w:ilvl w:val="0"/>
          <w:numId w:val="1"/>
        </w:num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Frederik Kromann Jespersen, </w:t>
      </w:r>
      <w:r w:rsidRPr="00F7025D">
        <w:rPr>
          <w:rFonts w:ascii="Times New Roman" w:hAnsi="Times New Roman" w:cs="Times New Roman"/>
          <w:i/>
          <w:iCs/>
          <w:sz w:val="24"/>
          <w:szCs w:val="24"/>
          <w:lang w:val="da-DK"/>
        </w:rPr>
        <w:t>”Vidneafhøring”</w:t>
      </w:r>
      <w:r>
        <w:rPr>
          <w:rFonts w:ascii="Times New Roman" w:hAnsi="Times New Roman" w:cs="Times New Roman"/>
          <w:sz w:val="24"/>
          <w:szCs w:val="24"/>
          <w:lang w:val="da-DK"/>
        </w:rPr>
        <w:t>1. udga</w:t>
      </w:r>
      <w:r w:rsidR="0073734E">
        <w:rPr>
          <w:rFonts w:ascii="Times New Roman" w:hAnsi="Times New Roman" w:cs="Times New Roman"/>
          <w:sz w:val="24"/>
          <w:szCs w:val="24"/>
          <w:lang w:val="da-DK"/>
        </w:rPr>
        <w:t>v</w:t>
      </w:r>
      <w:r>
        <w:rPr>
          <w:rFonts w:ascii="Times New Roman" w:hAnsi="Times New Roman" w:cs="Times New Roman"/>
          <w:sz w:val="24"/>
          <w:szCs w:val="24"/>
          <w:lang w:val="da-DK"/>
        </w:rPr>
        <w:t xml:space="preserve">e, DJØF Forlag 2023., </w:t>
      </w:r>
      <w:bookmarkStart w:id="0" w:name="_Hlk167359535"/>
      <w:r>
        <w:rPr>
          <w:rFonts w:ascii="Times New Roman" w:hAnsi="Times New Roman" w:cs="Times New Roman"/>
          <w:sz w:val="24"/>
          <w:szCs w:val="24"/>
          <w:lang w:val="da-DK"/>
        </w:rPr>
        <w:t>p. 16-21 og p. 29-42</w:t>
      </w:r>
      <w:bookmarkEnd w:id="0"/>
    </w:p>
    <w:p w14:paraId="2C1CDD1C" w14:textId="0BD457C7" w:rsidR="0008423B" w:rsidRPr="008C1209" w:rsidRDefault="0008423B" w:rsidP="008C1209">
      <w:pPr>
        <w:pStyle w:val="Listeafsnit"/>
        <w:numPr>
          <w:ilvl w:val="0"/>
          <w:numId w:val="1"/>
        </w:numPr>
        <w:spacing w:after="0"/>
        <w:rPr>
          <w:rFonts w:ascii="Times New Roman" w:hAnsi="Times New Roman" w:cs="Times New Roman"/>
          <w:sz w:val="24"/>
          <w:szCs w:val="24"/>
          <w:lang w:val="da-DK"/>
        </w:rPr>
      </w:pPr>
      <w:r>
        <w:rPr>
          <w:rFonts w:ascii="Times New Roman" w:hAnsi="Times New Roman" w:cs="Times New Roman"/>
          <w:sz w:val="24"/>
          <w:szCs w:val="24"/>
          <w:lang w:val="da-DK"/>
        </w:rPr>
        <w:t>Afgørelse fra Advokatnævnet 2024-1503 af 27/9-2024 om fremsendelse af ekstrakt til eget vidne</w:t>
      </w:r>
    </w:p>
    <w:p w14:paraId="4E76A9F0"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 xml:space="preserve">Pernille Backhausen m.fl.: </w:t>
      </w:r>
      <w:r w:rsidRPr="008C1209">
        <w:rPr>
          <w:rFonts w:ascii="Times New Roman" w:hAnsi="Times New Roman" w:cs="Times New Roman"/>
          <w:i/>
          <w:sz w:val="24"/>
          <w:szCs w:val="24"/>
          <w:lang w:val="da-DK"/>
        </w:rPr>
        <w:t>Proceduren</w:t>
      </w:r>
      <w:r w:rsidRPr="008C1209">
        <w:rPr>
          <w:rFonts w:ascii="Times New Roman" w:hAnsi="Times New Roman" w:cs="Times New Roman"/>
          <w:sz w:val="24"/>
          <w:szCs w:val="24"/>
          <w:lang w:val="da-DK"/>
        </w:rPr>
        <w:t>, 4. udgave, DJØF Forlag, 2019, s. 433-453 og 455-465</w:t>
      </w:r>
    </w:p>
    <w:p w14:paraId="39622A0A"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Den gode proces</w:t>
      </w:r>
    </w:p>
    <w:p w14:paraId="05F390E9"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Vejledning om behandling af civile sager ved landsretterne</w:t>
      </w:r>
    </w:p>
    <w:p w14:paraId="6C0AF4DD"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Vejledningen om behandling af civile sager ved byretterne</w:t>
      </w:r>
    </w:p>
    <w:p w14:paraId="7B60A14A"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Retssagsprøven – en guide til gennemførelsen af den praktiske prøve (FAAF, 2014)</w:t>
      </w:r>
    </w:p>
    <w:p w14:paraId="4518A060" w14:textId="77777777" w:rsidR="008C1209" w:rsidRPr="008C1209" w:rsidRDefault="008C1209" w:rsidP="008C1209">
      <w:pPr>
        <w:pStyle w:val="Listeafsnit"/>
        <w:numPr>
          <w:ilvl w:val="0"/>
          <w:numId w:val="1"/>
        </w:num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 xml:space="preserve">Særligt om advokaters procesførelse, </w:t>
      </w:r>
      <w:r w:rsidRPr="008C1209">
        <w:rPr>
          <w:rFonts w:ascii="Times New Roman" w:hAnsi="Times New Roman" w:cs="Times New Roman"/>
          <w:i/>
          <w:sz w:val="24"/>
          <w:szCs w:val="24"/>
          <w:lang w:val="da-DK"/>
        </w:rPr>
        <w:t>De advokatetiske regler - kommenteret</w:t>
      </w:r>
      <w:r w:rsidRPr="008C1209">
        <w:rPr>
          <w:rFonts w:ascii="Times New Roman" w:hAnsi="Times New Roman" w:cs="Times New Roman"/>
          <w:sz w:val="24"/>
          <w:szCs w:val="24"/>
          <w:lang w:val="da-DK"/>
        </w:rPr>
        <w:t>, af Martin Lavesen og Lars Økjær Jørgensen, kapitel 11 (artikel 48-51), s. 232-248.</w:t>
      </w:r>
    </w:p>
    <w:p w14:paraId="04A51B2E" w14:textId="77777777" w:rsidR="008C1209" w:rsidRPr="008C1209" w:rsidRDefault="008C1209" w:rsidP="008C1209">
      <w:pPr>
        <w:pStyle w:val="Brdtekst"/>
        <w:rPr>
          <w:sz w:val="26"/>
          <w:lang w:val="da-DK"/>
        </w:rPr>
      </w:pPr>
    </w:p>
    <w:p w14:paraId="4D105760" w14:textId="77777777" w:rsidR="008C1209" w:rsidRPr="008C1209" w:rsidRDefault="008C1209" w:rsidP="008C1209">
      <w:pPr>
        <w:pStyle w:val="Brdtekst"/>
        <w:spacing w:before="3"/>
        <w:rPr>
          <w:sz w:val="32"/>
          <w:lang w:val="da-DK"/>
        </w:rPr>
      </w:pPr>
    </w:p>
    <w:p w14:paraId="06F4E967" w14:textId="77777777" w:rsidR="008C1209" w:rsidRPr="008C1209" w:rsidRDefault="008C1209" w:rsidP="008C1209">
      <w:pPr>
        <w:spacing w:after="0"/>
        <w:rPr>
          <w:rFonts w:ascii="Times New Roman" w:hAnsi="Times New Roman" w:cs="Times New Roman"/>
          <w:b/>
          <w:sz w:val="24"/>
          <w:szCs w:val="24"/>
          <w:lang w:val="da-DK"/>
        </w:rPr>
      </w:pPr>
      <w:r w:rsidRPr="008C1209">
        <w:rPr>
          <w:rFonts w:ascii="Times New Roman" w:hAnsi="Times New Roman" w:cs="Times New Roman"/>
          <w:b/>
          <w:sz w:val="24"/>
          <w:szCs w:val="24"/>
          <w:lang w:val="da-DK"/>
        </w:rPr>
        <w:t>Eksamen</w:t>
      </w:r>
    </w:p>
    <w:p w14:paraId="7CAABAA1" w14:textId="77777777" w:rsidR="008C1209" w:rsidRPr="008C1209" w:rsidRDefault="008C1209" w:rsidP="008C1209">
      <w:pPr>
        <w:spacing w:after="0"/>
        <w:rPr>
          <w:rFonts w:ascii="Times New Roman" w:hAnsi="Times New Roman" w:cs="Times New Roman"/>
          <w:sz w:val="24"/>
          <w:szCs w:val="24"/>
          <w:lang w:val="da-DK"/>
        </w:rPr>
      </w:pPr>
      <w:r w:rsidRPr="008C1209">
        <w:rPr>
          <w:rFonts w:ascii="Times New Roman" w:hAnsi="Times New Roman" w:cs="Times New Roman"/>
          <w:sz w:val="24"/>
          <w:szCs w:val="24"/>
          <w:lang w:val="da-DK"/>
        </w:rPr>
        <w:t xml:space="preserve">Hvis </w:t>
      </w:r>
      <w:r w:rsidRPr="008C1209">
        <w:rPr>
          <w:rFonts w:ascii="Times New Roman" w:hAnsi="Times New Roman" w:cs="Times New Roman"/>
          <w:i/>
          <w:sz w:val="24"/>
          <w:szCs w:val="24"/>
          <w:lang w:val="da-DK"/>
        </w:rPr>
        <w:t>hovedforhandlingen</w:t>
      </w:r>
      <w:r w:rsidRPr="008C1209">
        <w:rPr>
          <w:rFonts w:ascii="Times New Roman" w:hAnsi="Times New Roman" w:cs="Times New Roman"/>
          <w:sz w:val="24"/>
          <w:szCs w:val="24"/>
          <w:lang w:val="da-DK"/>
        </w:rPr>
        <w:t xml:space="preserve"> bliver et emne til eksamen, skal eksaminanderne demonstrere, at de kan opfylde de faglige mål for emnet. Det kan f.eks. ske i en opgave, hvor de på baggrund af processkrifter og bilag skal redegøre for, hvilke bilag der bør indgå i en forelæggelse, og i hvilket omfang de valgte bilag skal refereres eller dokumenteres. Herudover skal de belyse relevante vidnetemaer samt redegøre for, hvilke teknikker og spørgsmålstyper der vil kunne påvirke afhøringernes forløb. Eller det kan ske i en opgave, hvor deltagerne skal disponere en procedure på baggrund af sagsmaterialet og herunder foretage relevante koblinger til bevisførelsen.</w:t>
      </w:r>
    </w:p>
    <w:p w14:paraId="3CC6A4C1" w14:textId="77777777" w:rsidR="00746F19" w:rsidRPr="00A7532A" w:rsidRDefault="00746F19" w:rsidP="00A7532A">
      <w:pPr>
        <w:rPr>
          <w:lang w:val="da-DK"/>
        </w:rPr>
      </w:pPr>
    </w:p>
    <w:sectPr w:rsidR="00746F19" w:rsidRPr="00A7532A">
      <w:pgSz w:w="11920" w:h="16840"/>
      <w:pgMar w:top="1560" w:right="108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76E"/>
    <w:multiLevelType w:val="hybridMultilevel"/>
    <w:tmpl w:val="656A0E9C"/>
    <w:lvl w:ilvl="0" w:tplc="E2965872">
      <w:numFmt w:val="bullet"/>
      <w:lvlText w:val="-"/>
      <w:lvlJc w:val="left"/>
      <w:pPr>
        <w:ind w:left="820" w:hanging="360"/>
      </w:pPr>
      <w:rPr>
        <w:rFonts w:ascii="Times New Roman" w:eastAsia="Times New Roman" w:hAnsi="Times New Roman" w:cs="Times New Roman" w:hint="default"/>
        <w:w w:val="99"/>
        <w:sz w:val="24"/>
        <w:szCs w:val="24"/>
      </w:rPr>
    </w:lvl>
    <w:lvl w:ilvl="1" w:tplc="9640C1AA">
      <w:numFmt w:val="bullet"/>
      <w:lvlText w:val="•"/>
      <w:lvlJc w:val="left"/>
      <w:pPr>
        <w:ind w:left="1747" w:hanging="360"/>
      </w:pPr>
      <w:rPr>
        <w:rFonts w:hint="default"/>
      </w:rPr>
    </w:lvl>
    <w:lvl w:ilvl="2" w:tplc="4C469474">
      <w:numFmt w:val="bullet"/>
      <w:lvlText w:val="•"/>
      <w:lvlJc w:val="left"/>
      <w:pPr>
        <w:ind w:left="2675" w:hanging="360"/>
      </w:pPr>
      <w:rPr>
        <w:rFonts w:hint="default"/>
      </w:rPr>
    </w:lvl>
    <w:lvl w:ilvl="3" w:tplc="D382D116">
      <w:numFmt w:val="bullet"/>
      <w:lvlText w:val="•"/>
      <w:lvlJc w:val="left"/>
      <w:pPr>
        <w:ind w:left="3603" w:hanging="360"/>
      </w:pPr>
      <w:rPr>
        <w:rFonts w:hint="default"/>
      </w:rPr>
    </w:lvl>
    <w:lvl w:ilvl="4" w:tplc="D6CABB8E">
      <w:numFmt w:val="bullet"/>
      <w:lvlText w:val="•"/>
      <w:lvlJc w:val="left"/>
      <w:pPr>
        <w:ind w:left="4531" w:hanging="360"/>
      </w:pPr>
      <w:rPr>
        <w:rFonts w:hint="default"/>
      </w:rPr>
    </w:lvl>
    <w:lvl w:ilvl="5" w:tplc="AA225DE6">
      <w:numFmt w:val="bullet"/>
      <w:lvlText w:val="•"/>
      <w:lvlJc w:val="left"/>
      <w:pPr>
        <w:ind w:left="5459" w:hanging="360"/>
      </w:pPr>
      <w:rPr>
        <w:rFonts w:hint="default"/>
      </w:rPr>
    </w:lvl>
    <w:lvl w:ilvl="6" w:tplc="BD0AA0EE">
      <w:numFmt w:val="bullet"/>
      <w:lvlText w:val="•"/>
      <w:lvlJc w:val="left"/>
      <w:pPr>
        <w:ind w:left="6387" w:hanging="360"/>
      </w:pPr>
      <w:rPr>
        <w:rFonts w:hint="default"/>
      </w:rPr>
    </w:lvl>
    <w:lvl w:ilvl="7" w:tplc="6A92F8A0">
      <w:numFmt w:val="bullet"/>
      <w:lvlText w:val="•"/>
      <w:lvlJc w:val="left"/>
      <w:pPr>
        <w:ind w:left="7315" w:hanging="360"/>
      </w:pPr>
      <w:rPr>
        <w:rFonts w:hint="default"/>
      </w:rPr>
    </w:lvl>
    <w:lvl w:ilvl="8" w:tplc="DC9E3212">
      <w:numFmt w:val="bullet"/>
      <w:lvlText w:val="•"/>
      <w:lvlJc w:val="left"/>
      <w:pPr>
        <w:ind w:left="8243" w:hanging="360"/>
      </w:pPr>
      <w:rPr>
        <w:rFonts w:hint="default"/>
      </w:rPr>
    </w:lvl>
  </w:abstractNum>
  <w:abstractNum w:abstractNumId="1" w15:restartNumberingAfterBreak="0">
    <w:nsid w:val="1A1A0B7E"/>
    <w:multiLevelType w:val="hybridMultilevel"/>
    <w:tmpl w:val="31A037F4"/>
    <w:lvl w:ilvl="0" w:tplc="468A792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3167683">
    <w:abstractNumId w:val="1"/>
  </w:num>
  <w:num w:numId="2" w16cid:durableId="7145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19"/>
    <w:rsid w:val="0008423B"/>
    <w:rsid w:val="000C602E"/>
    <w:rsid w:val="00223009"/>
    <w:rsid w:val="00244E7F"/>
    <w:rsid w:val="00334BD0"/>
    <w:rsid w:val="003B0994"/>
    <w:rsid w:val="004B2289"/>
    <w:rsid w:val="006557F1"/>
    <w:rsid w:val="006824CB"/>
    <w:rsid w:val="00717863"/>
    <w:rsid w:val="00733AA3"/>
    <w:rsid w:val="0073734E"/>
    <w:rsid w:val="00746F19"/>
    <w:rsid w:val="00776EA1"/>
    <w:rsid w:val="00791161"/>
    <w:rsid w:val="008B55E9"/>
    <w:rsid w:val="008C1209"/>
    <w:rsid w:val="008F2378"/>
    <w:rsid w:val="00A430FA"/>
    <w:rsid w:val="00A62764"/>
    <w:rsid w:val="00A7532A"/>
    <w:rsid w:val="00B14F7D"/>
    <w:rsid w:val="00B23399"/>
    <w:rsid w:val="00BC343C"/>
    <w:rsid w:val="00C27163"/>
    <w:rsid w:val="00CB08E5"/>
    <w:rsid w:val="00CB19C0"/>
    <w:rsid w:val="00D648A3"/>
    <w:rsid w:val="00D75DF0"/>
    <w:rsid w:val="00EB01CC"/>
    <w:rsid w:val="00EF041C"/>
    <w:rsid w:val="00F21AFC"/>
    <w:rsid w:val="00F702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253B"/>
  <w15:docId w15:val="{663D69A3-7813-42D4-8C7B-2211C068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Overskrift1">
    <w:name w:val="heading 1"/>
    <w:basedOn w:val="Normal"/>
    <w:link w:val="Overskrift1Tegn"/>
    <w:uiPriority w:val="9"/>
    <w:qFormat/>
    <w:rsid w:val="008C1209"/>
    <w:pPr>
      <w:autoSpaceDE w:val="0"/>
      <w:autoSpaceDN w:val="0"/>
      <w:spacing w:before="1" w:after="0" w:line="240" w:lineRule="auto"/>
      <w:ind w:left="100"/>
      <w:outlineLvl w:val="0"/>
    </w:pPr>
    <w:rPr>
      <w:rFonts w:ascii="Times New Roman" w:eastAsia="Times New Roman" w:hAnsi="Times New Roman" w:cs="Times New Roman"/>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557F1"/>
    <w:rPr>
      <w:color w:val="0000FF" w:themeColor="hyperlink"/>
      <w:u w:val="single"/>
    </w:rPr>
  </w:style>
  <w:style w:type="paragraph" w:styleId="Listeafsnit">
    <w:name w:val="List Paragraph"/>
    <w:basedOn w:val="Normal"/>
    <w:uiPriority w:val="1"/>
    <w:qFormat/>
    <w:rsid w:val="006557F1"/>
    <w:pPr>
      <w:ind w:left="720"/>
      <w:contextualSpacing/>
    </w:pPr>
  </w:style>
  <w:style w:type="character" w:styleId="BesgtLink">
    <w:name w:val="FollowedHyperlink"/>
    <w:basedOn w:val="Standardskrifttypeiafsnit"/>
    <w:uiPriority w:val="99"/>
    <w:semiHidden/>
    <w:unhideWhenUsed/>
    <w:rsid w:val="006824CB"/>
    <w:rPr>
      <w:color w:val="800080" w:themeColor="followedHyperlink"/>
      <w:u w:val="single"/>
    </w:rPr>
  </w:style>
  <w:style w:type="character" w:styleId="Ulstomtale">
    <w:name w:val="Unresolved Mention"/>
    <w:basedOn w:val="Standardskrifttypeiafsnit"/>
    <w:uiPriority w:val="99"/>
    <w:semiHidden/>
    <w:unhideWhenUsed/>
    <w:rsid w:val="00C27163"/>
    <w:rPr>
      <w:color w:val="605E5C"/>
      <w:shd w:val="clear" w:color="auto" w:fill="E1DFDD"/>
    </w:rPr>
  </w:style>
  <w:style w:type="character" w:customStyle="1" w:styleId="Overskrift1Tegn">
    <w:name w:val="Overskrift 1 Tegn"/>
    <w:basedOn w:val="Standardskrifttypeiafsnit"/>
    <w:link w:val="Overskrift1"/>
    <w:uiPriority w:val="9"/>
    <w:rsid w:val="008C1209"/>
    <w:rPr>
      <w:rFonts w:ascii="Times New Roman" w:eastAsia="Times New Roman" w:hAnsi="Times New Roman" w:cs="Times New Roman"/>
      <w:b/>
      <w:bCs/>
      <w:sz w:val="24"/>
      <w:szCs w:val="24"/>
    </w:rPr>
  </w:style>
  <w:style w:type="paragraph" w:styleId="Brdtekst">
    <w:name w:val="Body Text"/>
    <w:basedOn w:val="Normal"/>
    <w:link w:val="BrdtekstTegn"/>
    <w:uiPriority w:val="1"/>
    <w:qFormat/>
    <w:rsid w:val="008C1209"/>
    <w:pPr>
      <w:autoSpaceDE w:val="0"/>
      <w:autoSpaceDN w:val="0"/>
      <w:spacing w:after="0" w:line="240" w:lineRule="auto"/>
    </w:pPr>
    <w:rPr>
      <w:rFonts w:ascii="Times New Roman" w:eastAsia="Times New Roman" w:hAnsi="Times New Roman" w:cs="Times New Roman"/>
      <w:sz w:val="24"/>
      <w:szCs w:val="24"/>
    </w:rPr>
  </w:style>
  <w:style w:type="character" w:customStyle="1" w:styleId="BrdtekstTegn">
    <w:name w:val="Brødtekst Tegn"/>
    <w:basedOn w:val="Standardskrifttypeiafsnit"/>
    <w:link w:val="Brdtekst"/>
    <w:uiPriority w:val="1"/>
    <w:rsid w:val="008C12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3367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Gundlach Thorstholm</dc:creator>
  <cp:lastModifiedBy>Katinka Gro Kragh Slaatorn</cp:lastModifiedBy>
  <cp:revision>2</cp:revision>
  <cp:lastPrinted>2022-12-14T08:40:00Z</cp:lastPrinted>
  <dcterms:created xsi:type="dcterms:W3CDTF">2024-12-17T14:26:00Z</dcterms:created>
  <dcterms:modified xsi:type="dcterms:W3CDTF">2024-12-17T14:26:00Z</dcterms:modified>
</cp:coreProperties>
</file>